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ED" w:rsidRDefault="003B66ED" w:rsidP="00103618">
      <w:pPr>
        <w:spacing w:line="240" w:lineRule="auto"/>
      </w:pPr>
    </w:p>
    <w:p w:rsidR="003B66ED" w:rsidRPr="006A5F3C" w:rsidRDefault="006A5F3C" w:rsidP="006A5F3C">
      <w:pPr>
        <w:spacing w:line="240" w:lineRule="auto"/>
        <w:jc w:val="center"/>
        <w:rPr>
          <w:rFonts w:cstheme="minorBidi" w:hint="cs"/>
          <w:rtl/>
          <w:lang w:bidi="ar-EG"/>
        </w:rPr>
      </w:pPr>
      <w:r>
        <w:rPr>
          <w:rFonts w:ascii="Algerian" w:hAnsi="Algerian" w:cstheme="minorBidi" w:hint="cs"/>
          <w:sz w:val="90"/>
          <w:szCs w:val="90"/>
          <w:bdr w:val="single" w:sz="4" w:space="0" w:color="auto"/>
          <w:rtl/>
          <w:lang w:bidi="ar-EG"/>
        </w:rPr>
        <w:t>السيرة الزاتيه</w:t>
      </w:r>
    </w:p>
    <w:p w:rsidR="003B66ED" w:rsidRDefault="006A5F3C" w:rsidP="00103618">
      <w:pPr>
        <w:pBdr>
          <w:bottom w:val="single" w:sz="4" w:space="9" w:color="auto"/>
        </w:pBdr>
        <w:spacing w:line="240" w:lineRule="auto"/>
        <w:jc w:val="center"/>
        <w:rPr>
          <w:rFonts w:hint="cs"/>
          <w:b/>
          <w:bCs/>
          <w:i/>
          <w:iCs/>
          <w:sz w:val="62"/>
          <w:szCs w:val="62"/>
          <w:rtl/>
          <w:lang w:bidi="ar-EG"/>
        </w:rPr>
      </w:pPr>
      <w:r>
        <w:rPr>
          <w:rFonts w:hint="cs"/>
          <w:b/>
          <w:bCs/>
          <w:i/>
          <w:iCs/>
          <w:sz w:val="62"/>
          <w:szCs w:val="62"/>
          <w:rtl/>
          <w:lang w:bidi="ar-EG"/>
        </w:rPr>
        <w:t>محمد عبدالصبور محمد مكى</w:t>
      </w:r>
    </w:p>
    <w:p w:rsidR="002343AF" w:rsidRPr="00103618" w:rsidRDefault="002343AF" w:rsidP="00103618">
      <w:pPr>
        <w:pBdr>
          <w:bottom w:val="single" w:sz="4" w:space="9" w:color="auto"/>
        </w:pBdr>
        <w:spacing w:line="240" w:lineRule="auto"/>
        <w:jc w:val="center"/>
        <w:rPr>
          <w:b/>
          <w:bCs/>
          <w:i/>
          <w:iCs/>
          <w:sz w:val="62"/>
          <w:szCs w:val="62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47"/>
        <w:gridCol w:w="7329"/>
      </w:tblGrid>
      <w:tr w:rsidR="00C12A44" w:rsidRPr="00103618" w:rsidTr="00103618">
        <w:trPr>
          <w:trHeight w:val="3600"/>
        </w:trPr>
        <w:tc>
          <w:tcPr>
            <w:tcW w:w="2247" w:type="dxa"/>
          </w:tcPr>
          <w:p w:rsidR="00C12A44" w:rsidRPr="00103618" w:rsidRDefault="006A5F3C" w:rsidP="00103618">
            <w:pPr>
              <w:spacing w:line="240" w:lineRule="auto"/>
              <w:jc w:val="lowKashida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الاسم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النوع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الميلاد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الجنسية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الحالة الاجتماعية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العمل الحالى</w:t>
            </w: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</w:p>
          <w:p w:rsidR="00C12A44" w:rsidRPr="00103618" w:rsidRDefault="00C12A44" w:rsidP="00103618">
            <w:pPr>
              <w:spacing w:line="240" w:lineRule="auto"/>
              <w:jc w:val="lowKashida"/>
              <w:rPr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7329" w:type="dxa"/>
          </w:tcPr>
          <w:p w:rsidR="00C12A44" w:rsidRPr="00103618" w:rsidRDefault="006A5F3C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محمد عبدالصبور محمد مكى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ذكر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27/12/1975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مصرى</w:t>
            </w:r>
          </w:p>
          <w:p w:rsidR="00C12A44" w:rsidRPr="00103618" w:rsidRDefault="006A5F3C" w:rsidP="00103618">
            <w:pPr>
              <w:spacing w:line="240" w:lineRule="auto"/>
              <w:jc w:val="lowKashida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متزوج و يعول</w:t>
            </w:r>
          </w:p>
          <w:p w:rsidR="00C12A44" w:rsidRDefault="006A5F3C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rFonts w:hint="cs"/>
                <w:color w:val="000000"/>
                <w:spacing w:val="-5"/>
                <w:w w:val="99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pacing w:val="-5"/>
                <w:w w:val="99"/>
                <w:sz w:val="24"/>
                <w:szCs w:val="24"/>
                <w:rtl/>
              </w:rPr>
              <w:t>مدرس بكلية الطب جامعه اسيوط</w:t>
            </w:r>
          </w:p>
          <w:p w:rsidR="006A5F3C" w:rsidRPr="00103618" w:rsidRDefault="006A5F3C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>
              <w:rPr>
                <w:rFonts w:hint="cs"/>
                <w:color w:val="000000"/>
                <w:spacing w:val="-5"/>
                <w:w w:val="99"/>
                <w:sz w:val="24"/>
                <w:szCs w:val="24"/>
                <w:rtl/>
              </w:rPr>
              <w:t>قسم طب المناطق الحارة و الجهاز الهضمى</w:t>
            </w:r>
          </w:p>
          <w:p w:rsidR="00C12A44" w:rsidRPr="00103618" w:rsidRDefault="006A5F3C" w:rsidP="006A5F3C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>
              <w:rPr>
                <w:rFonts w:hint="cs"/>
                <w:color w:val="000000"/>
                <w:spacing w:val="-5"/>
                <w:w w:val="99"/>
                <w:sz w:val="24"/>
                <w:szCs w:val="24"/>
                <w:rtl/>
              </w:rPr>
              <w:t>كود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: 71111, </w:t>
            </w:r>
            <w:r>
              <w:rPr>
                <w:rFonts w:hint="cs"/>
                <w:color w:val="000000"/>
                <w:spacing w:val="-5"/>
                <w:w w:val="99"/>
                <w:sz w:val="24"/>
                <w:szCs w:val="24"/>
                <w:rtl/>
              </w:rPr>
              <w:t>مصر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. </w:t>
            </w:r>
          </w:p>
          <w:p w:rsidR="00C12A44" w:rsidRPr="00103618" w:rsidRDefault="006A5F3C" w:rsidP="006A5F3C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>
              <w:rPr>
                <w:rFonts w:hint="cs"/>
                <w:color w:val="000000"/>
                <w:spacing w:val="-5"/>
                <w:w w:val="99"/>
                <w:sz w:val="24"/>
                <w:szCs w:val="24"/>
                <w:rtl/>
              </w:rPr>
              <w:t>تليفون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pacing w:val="-5"/>
                <w:w w:val="99"/>
                <w:sz w:val="24"/>
                <w:szCs w:val="24"/>
              </w:rPr>
              <w:t>hgulg</w:t>
            </w:r>
            <w:proofErr w:type="spellEnd"/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>: +2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-2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>4136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11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. </w:t>
            </w:r>
          </w:p>
          <w:p w:rsidR="006A5F3C" w:rsidRDefault="006A5F3C" w:rsidP="006A5F3C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5"/>
                <w:w w:val="99"/>
                <w:sz w:val="24"/>
                <w:szCs w:val="24"/>
              </w:rPr>
              <w:t>Th;s</w:t>
            </w:r>
            <w:proofErr w:type="spellEnd"/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>: +2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="006F0352" w:rsidRPr="00103618">
              <w:rPr>
                <w:color w:val="000000"/>
                <w:spacing w:val="-5"/>
                <w:w w:val="99"/>
                <w:sz w:val="24"/>
                <w:szCs w:val="24"/>
              </w:rPr>
              <w:t>2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>3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4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>33</w:t>
            </w:r>
            <w:r w:rsidR="00657995" w:rsidRPr="00103618">
              <w:rPr>
                <w:color w:val="000000"/>
                <w:spacing w:val="-5"/>
                <w:w w:val="99"/>
                <w:sz w:val="24"/>
                <w:szCs w:val="24"/>
              </w:rPr>
              <w:t>08</w:t>
            </w:r>
          </w:p>
          <w:p w:rsidR="00C12A44" w:rsidRPr="006A5F3C" w:rsidRDefault="006A5F3C" w:rsidP="006A5F3C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color w:val="000000"/>
                <w:spacing w:val="-5"/>
                <w:w w:val="99"/>
                <w:sz w:val="24"/>
                <w:szCs w:val="24"/>
              </w:rPr>
            </w:pPr>
            <w:r>
              <w:rPr>
                <w:rFonts w:hint="cs"/>
                <w:color w:val="000000"/>
                <w:spacing w:val="-5"/>
                <w:w w:val="99"/>
                <w:sz w:val="24"/>
                <w:szCs w:val="24"/>
                <w:rtl/>
                <w:lang w:bidi="ar-EG"/>
              </w:rPr>
              <w:t>الايميل</w:t>
            </w:r>
            <w:r w:rsidR="00C12A44" w:rsidRPr="00103618">
              <w:rPr>
                <w:color w:val="000000"/>
                <w:spacing w:val="-5"/>
                <w:w w:val="99"/>
                <w:sz w:val="24"/>
                <w:szCs w:val="24"/>
              </w:rPr>
              <w:t xml:space="preserve">: </w:t>
            </w:r>
            <w:hyperlink r:id="rId7" w:history="1">
              <w:r w:rsidR="00C12A44" w:rsidRPr="00103618">
                <w:rPr>
                  <w:rStyle w:val="Hyperlink"/>
                  <w:spacing w:val="-5"/>
                  <w:w w:val="99"/>
                  <w:sz w:val="24"/>
                  <w:szCs w:val="24"/>
                </w:rPr>
                <w:t>doc_mekky0000@yahoo.com</w:t>
              </w:r>
            </w:hyperlink>
          </w:p>
        </w:tc>
      </w:tr>
    </w:tbl>
    <w:p w:rsidR="00680FF7" w:rsidRPr="00103618" w:rsidRDefault="00680FF7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F40491" w:rsidRDefault="00F40491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color w:val="000000"/>
          <w:w w:val="99"/>
          <w:sz w:val="18"/>
          <w:szCs w:val="18"/>
        </w:rPr>
      </w:pPr>
    </w:p>
    <w:p w:rsidR="000138C4" w:rsidRPr="00103618" w:rsidRDefault="006A5F3C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الخبرات و الانشطة</w:t>
      </w:r>
    </w:p>
    <w:p w:rsidR="006A5F3C" w:rsidRDefault="006A5F3C" w:rsidP="00103618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rFonts w:hint="cs"/>
          <w:b/>
          <w:bCs/>
          <w:w w:val="99"/>
          <w:sz w:val="26"/>
          <w:szCs w:val="26"/>
          <w:rtl/>
          <w:lang w:bidi="ar-EG"/>
        </w:rPr>
      </w:pPr>
      <w:r>
        <w:rPr>
          <w:rFonts w:hint="cs"/>
          <w:b/>
          <w:bCs/>
          <w:w w:val="99"/>
          <w:sz w:val="26"/>
          <w:szCs w:val="26"/>
          <w:rtl/>
          <w:lang w:bidi="ar-EG"/>
        </w:rPr>
        <w:t>مدرس يكلية الطب</w:t>
      </w:r>
    </w:p>
    <w:p w:rsidR="006A5F3C" w:rsidRDefault="006A5F3C" w:rsidP="006A5F3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71" w:line="240" w:lineRule="auto"/>
        <w:ind w:right="-20"/>
        <w:rPr>
          <w:rFonts w:hint="cs"/>
          <w:b/>
          <w:bCs/>
          <w:w w:val="99"/>
          <w:sz w:val="26"/>
          <w:szCs w:val="26"/>
          <w:lang w:bidi="ar-EG"/>
        </w:rPr>
      </w:pPr>
      <w:r>
        <w:rPr>
          <w:rFonts w:hint="cs"/>
          <w:b/>
          <w:bCs/>
          <w:w w:val="99"/>
          <w:sz w:val="26"/>
          <w:szCs w:val="26"/>
          <w:rtl/>
          <w:lang w:bidi="ar-EG"/>
        </w:rPr>
        <w:t>تدريس مواد الجهاز الهضمى و الكبد و الحميات</w:t>
      </w:r>
    </w:p>
    <w:p w:rsidR="006A5F3C" w:rsidRDefault="006A5F3C" w:rsidP="006A5F3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71" w:line="240" w:lineRule="auto"/>
        <w:ind w:right="-20"/>
        <w:rPr>
          <w:rFonts w:hint="cs"/>
          <w:b/>
          <w:bCs/>
          <w:w w:val="99"/>
          <w:sz w:val="26"/>
          <w:szCs w:val="26"/>
          <w:lang w:bidi="ar-EG"/>
        </w:rPr>
      </w:pPr>
      <w:r>
        <w:rPr>
          <w:rFonts w:hint="cs"/>
          <w:b/>
          <w:bCs/>
          <w:w w:val="99"/>
          <w:sz w:val="26"/>
          <w:szCs w:val="26"/>
          <w:rtl/>
          <w:lang w:bidi="ar-EG"/>
        </w:rPr>
        <w:t>مناظير الجهاز الهضمى</w:t>
      </w:r>
    </w:p>
    <w:p w:rsidR="006A5F3C" w:rsidRPr="006A5F3C" w:rsidRDefault="006A5F3C" w:rsidP="006A5F3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71" w:line="240" w:lineRule="auto"/>
        <w:ind w:right="-20"/>
        <w:rPr>
          <w:rFonts w:hint="cs"/>
          <w:b/>
          <w:bCs/>
          <w:w w:val="99"/>
          <w:sz w:val="26"/>
          <w:szCs w:val="26"/>
          <w:rtl/>
          <w:lang w:bidi="ar-EG"/>
        </w:rPr>
      </w:pPr>
      <w:r>
        <w:rPr>
          <w:rFonts w:hint="cs"/>
          <w:b/>
          <w:bCs/>
          <w:w w:val="99"/>
          <w:sz w:val="26"/>
          <w:szCs w:val="26"/>
          <w:rtl/>
          <w:lang w:bidi="ar-EG"/>
        </w:rPr>
        <w:t>مؤتمر القسم السنوى التنظيم و المشاركة</w:t>
      </w:r>
    </w:p>
    <w:p w:rsidR="00A0368D" w:rsidRPr="00103618" w:rsidRDefault="00A0368D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12"/>
          <w:szCs w:val="12"/>
          <w:lang w:bidi="ar-EG"/>
        </w:rPr>
      </w:pPr>
    </w:p>
    <w:p w:rsidR="00A0368D" w:rsidRPr="00103618" w:rsidRDefault="006A5F3C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الكورسات</w:t>
      </w:r>
    </w:p>
    <w:p w:rsidR="00A0368D" w:rsidRPr="00103618" w:rsidRDefault="00A0368D" w:rsidP="00103618">
      <w:pPr>
        <w:widowControl w:val="0"/>
        <w:autoSpaceDE w:val="0"/>
        <w:autoSpaceDN w:val="0"/>
        <w:adjustRightInd w:val="0"/>
        <w:spacing w:before="6" w:line="240" w:lineRule="auto"/>
        <w:ind w:right="-20"/>
        <w:rPr>
          <w:b/>
          <w:bCs/>
          <w:spacing w:val="-9"/>
          <w:position w:val="-1"/>
          <w:sz w:val="24"/>
          <w:szCs w:val="24"/>
          <w:u w:val="single"/>
        </w:rPr>
      </w:pPr>
      <w:r w:rsidRPr="00103618">
        <w:rPr>
          <w:b/>
          <w:bCs/>
          <w:spacing w:val="-9"/>
          <w:position w:val="-1"/>
          <w:sz w:val="24"/>
          <w:szCs w:val="24"/>
          <w:u w:val="single"/>
        </w:rPr>
        <w:t>TRAINING COURSES</w:t>
      </w:r>
      <w:r w:rsidR="00C46B06" w:rsidRPr="00103618">
        <w:rPr>
          <w:b/>
          <w:bCs/>
          <w:spacing w:val="-9"/>
          <w:position w:val="-1"/>
          <w:sz w:val="24"/>
          <w:szCs w:val="24"/>
          <w:u w:val="single"/>
        </w:rPr>
        <w:t xml:space="preserve"> (</w:t>
      </w:r>
      <w:r w:rsidR="00090D48" w:rsidRPr="00103618">
        <w:rPr>
          <w:b/>
          <w:bCs/>
          <w:spacing w:val="-9"/>
          <w:position w:val="-1"/>
          <w:sz w:val="24"/>
          <w:szCs w:val="24"/>
          <w:u w:val="single"/>
        </w:rPr>
        <w:t>A</w:t>
      </w:r>
      <w:r w:rsidR="00DC46C0" w:rsidRPr="00103618">
        <w:rPr>
          <w:b/>
          <w:bCs/>
          <w:spacing w:val="-9"/>
          <w:position w:val="-1"/>
          <w:sz w:val="24"/>
          <w:szCs w:val="24"/>
          <w:u w:val="single"/>
        </w:rPr>
        <w:t>s a trainee</w:t>
      </w:r>
      <w:r w:rsidR="00C46B06" w:rsidRPr="00103618">
        <w:rPr>
          <w:b/>
          <w:bCs/>
          <w:spacing w:val="-9"/>
          <w:position w:val="-1"/>
          <w:sz w:val="24"/>
          <w:szCs w:val="24"/>
          <w:u w:val="single"/>
        </w:rPr>
        <w:t>)</w:t>
      </w:r>
      <w:r w:rsidRPr="00103618">
        <w:rPr>
          <w:b/>
          <w:bCs/>
          <w:spacing w:val="-9"/>
          <w:position w:val="-1"/>
          <w:sz w:val="24"/>
          <w:szCs w:val="24"/>
          <w:u w:val="single"/>
        </w:rPr>
        <w:t>: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TOEFL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ICDL</w:t>
      </w:r>
    </w:p>
    <w:p w:rsidR="00A0368D" w:rsidRPr="00103618" w:rsidRDefault="00362567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 xml:space="preserve">FLDP courses to </w:t>
      </w:r>
      <w:r w:rsidR="00A0368D" w:rsidRPr="00103618">
        <w:rPr>
          <w:sz w:val="24"/>
          <w:szCs w:val="24"/>
        </w:rPr>
        <w:t>Improvement of skills</w:t>
      </w:r>
    </w:p>
    <w:p w:rsidR="00A0368D" w:rsidRPr="00103618" w:rsidRDefault="00A0368D" w:rsidP="00103618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103618">
        <w:rPr>
          <w:sz w:val="24"/>
          <w:szCs w:val="24"/>
        </w:rPr>
        <w:t>SPSS course</w:t>
      </w:r>
    </w:p>
    <w:p w:rsidR="000138C4" w:rsidRPr="00103618" w:rsidRDefault="006A5F3C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rFonts w:hint="cs"/>
          <w:b/>
          <w:bCs/>
          <w:i/>
          <w:iCs/>
          <w:sz w:val="40"/>
          <w:szCs w:val="40"/>
          <w:rtl/>
          <w:lang w:bidi="ar-EG"/>
        </w:rPr>
      </w:pPr>
      <w:r>
        <w:rPr>
          <w:rFonts w:hint="cs"/>
          <w:b/>
          <w:bCs/>
          <w:i/>
          <w:iCs/>
          <w:sz w:val="40"/>
          <w:szCs w:val="40"/>
          <w:rtl/>
          <w:lang w:bidi="ar-EG"/>
        </w:rPr>
        <w:t>النشرات العلمية</w:t>
      </w:r>
    </w:p>
    <w:p w:rsidR="000138C4" w:rsidRPr="00103618" w:rsidRDefault="0014011B" w:rsidP="00103618">
      <w:pPr>
        <w:pStyle w:val="ListParagraph"/>
        <w:numPr>
          <w:ilvl w:val="0"/>
          <w:numId w:val="18"/>
        </w:numPr>
        <w:spacing w:line="240" w:lineRule="auto"/>
        <w:ind w:left="90" w:hanging="450"/>
        <w:rPr>
          <w:b/>
          <w:bCs/>
          <w:sz w:val="24"/>
          <w:szCs w:val="24"/>
          <w:u w:val="single"/>
        </w:rPr>
      </w:pPr>
      <w:r w:rsidRPr="00103618">
        <w:rPr>
          <w:b/>
          <w:bCs/>
          <w:spacing w:val="4"/>
          <w:sz w:val="24"/>
          <w:szCs w:val="24"/>
          <w:u w:val="single"/>
        </w:rPr>
        <w:t xml:space="preserve"> </w:t>
      </w:r>
      <w:r w:rsidRPr="00103618">
        <w:rPr>
          <w:b/>
          <w:bCs/>
          <w:spacing w:val="-1"/>
          <w:w w:val="99"/>
          <w:sz w:val="24"/>
          <w:szCs w:val="24"/>
          <w:u w:val="single"/>
        </w:rPr>
        <w:t>S</w:t>
      </w:r>
      <w:r w:rsidRPr="00103618">
        <w:rPr>
          <w:b/>
          <w:bCs/>
          <w:spacing w:val="1"/>
          <w:w w:val="99"/>
          <w:sz w:val="24"/>
          <w:szCs w:val="24"/>
          <w:u w:val="single"/>
        </w:rPr>
        <w:t>C</w:t>
      </w:r>
      <w:r w:rsidRPr="00103618">
        <w:rPr>
          <w:b/>
          <w:bCs/>
          <w:spacing w:val="2"/>
          <w:w w:val="99"/>
          <w:sz w:val="24"/>
          <w:szCs w:val="24"/>
          <w:u w:val="single"/>
        </w:rPr>
        <w:t>IENTIFI</w:t>
      </w:r>
      <w:r w:rsidRPr="00103618">
        <w:rPr>
          <w:b/>
          <w:bCs/>
          <w:w w:val="99"/>
          <w:sz w:val="24"/>
          <w:szCs w:val="24"/>
          <w:u w:val="single"/>
        </w:rPr>
        <w:t>C</w:t>
      </w:r>
      <w:r w:rsidRPr="00103618">
        <w:rPr>
          <w:b/>
          <w:bCs/>
          <w:spacing w:val="4"/>
          <w:sz w:val="24"/>
          <w:szCs w:val="24"/>
          <w:u w:val="single"/>
        </w:rPr>
        <w:t xml:space="preserve"> </w:t>
      </w:r>
      <w:r w:rsidRPr="00103618">
        <w:rPr>
          <w:b/>
          <w:bCs/>
          <w:spacing w:val="6"/>
          <w:w w:val="99"/>
          <w:sz w:val="24"/>
          <w:szCs w:val="24"/>
          <w:u w:val="single"/>
        </w:rPr>
        <w:t>M</w:t>
      </w:r>
      <w:r w:rsidRPr="00103618">
        <w:rPr>
          <w:b/>
          <w:bCs/>
          <w:spacing w:val="2"/>
          <w:w w:val="99"/>
          <w:sz w:val="24"/>
          <w:szCs w:val="24"/>
          <w:u w:val="single"/>
        </w:rPr>
        <w:t>EETIN</w:t>
      </w:r>
      <w:r w:rsidRPr="00103618">
        <w:rPr>
          <w:b/>
          <w:bCs/>
          <w:w w:val="99"/>
          <w:sz w:val="24"/>
          <w:szCs w:val="24"/>
          <w:u w:val="single"/>
        </w:rPr>
        <w:t>GS:</w:t>
      </w:r>
    </w:p>
    <w:p w:rsidR="00D05478" w:rsidRPr="00103618" w:rsidRDefault="00D0547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A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Medhat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>.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Clinical Use of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Q</w:t>
      </w:r>
      <w:r w:rsidRPr="00103618">
        <w:rPr>
          <w:rFonts w:eastAsia="MS Mincho"/>
          <w:b/>
          <w:bCs/>
          <w:i/>
          <w:iCs/>
          <w:color w:val="000000"/>
          <w:w w:val="99"/>
          <w:sz w:val="24"/>
          <w:szCs w:val="24"/>
          <w:u w:val="single"/>
        </w:rPr>
        <w:t>uinolone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monthly Scientific Meeting of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entitled “use and misuse of antibiotics”,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EGYPT……..2007.</w:t>
      </w:r>
    </w:p>
    <w:p w:rsidR="005C5B7B" w:rsidRPr="00103618" w:rsidRDefault="009D7E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A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Medhat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>.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The interactions between the liver and bone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monthly Scientific Meeting of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entitled “</w:t>
      </w:r>
      <w:r w:rsidR="005C5B7B" w:rsidRPr="00103618">
        <w:rPr>
          <w:rFonts w:eastAsia="MS Mincho"/>
          <w:color w:val="000000"/>
          <w:w w:val="99"/>
          <w:sz w:val="24"/>
          <w:szCs w:val="24"/>
        </w:rPr>
        <w:t>GIT and The Bone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”,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EGYPT……..2007.</w:t>
      </w:r>
    </w:p>
    <w:p w:rsidR="005C5B7B" w:rsidRPr="00103618" w:rsidRDefault="009D7E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Inflammatory Bowel Dis</w:t>
      </w:r>
      <w:r w:rsidR="00962A22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ease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: Update.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="005C5B7B" w:rsidRPr="00103618">
        <w:rPr>
          <w:rFonts w:eastAsia="MS Mincho"/>
          <w:color w:val="000000"/>
          <w:w w:val="99"/>
          <w:sz w:val="24"/>
          <w:szCs w:val="24"/>
        </w:rPr>
        <w:t xml:space="preserve">in the Scientific Meeting of Tropical Medicine and Gastroenterology Department, </w:t>
      </w:r>
      <w:proofErr w:type="spellStart"/>
      <w:r w:rsidR="005C5B7B"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="005C5B7B"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</w:t>
      </w:r>
      <w:proofErr w:type="spellStart"/>
      <w:r w:rsidR="005C5B7B"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="005C5B7B" w:rsidRPr="00103618">
        <w:rPr>
          <w:rFonts w:eastAsia="MS Mincho"/>
          <w:color w:val="000000"/>
          <w:w w:val="99"/>
          <w:sz w:val="24"/>
          <w:szCs w:val="24"/>
        </w:rPr>
        <w:t xml:space="preserve"> EGYPT……..2007.</w:t>
      </w:r>
    </w:p>
    <w:p w:rsidR="00D05478" w:rsidRPr="00103618" w:rsidRDefault="009D7E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proofErr w:type="spellStart"/>
      <w:r w:rsidR="008F6088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Hypercoagulable</w:t>
      </w:r>
      <w:proofErr w:type="spellEnd"/>
      <w:r w:rsidR="008F6088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 state.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Scientific Meeting of Tropical Medicine and Gastroenterology Department,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EGYPT……..2007.</w:t>
      </w:r>
    </w:p>
    <w:p w:rsidR="005B7B4E" w:rsidRPr="00103618" w:rsidRDefault="005B7B4E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Vascular Diseases of the Liver.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Scientific Meeting of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Tropi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cal Medicine and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G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astroenterology </w:t>
      </w:r>
      <w:r w:rsidR="00D05478" w:rsidRPr="00103618">
        <w:rPr>
          <w:rFonts w:eastAsia="MS Mincho"/>
          <w:color w:val="000000"/>
          <w:w w:val="99"/>
          <w:sz w:val="24"/>
          <w:szCs w:val="24"/>
        </w:rPr>
        <w:t>D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epartment, </w:t>
      </w:r>
      <w:proofErr w:type="spellStart"/>
      <w:r w:rsidR="00D05478"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</w:t>
      </w:r>
      <w:proofErr w:type="spellStart"/>
      <w:r w:rsidR="00D05478"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="00D05478" w:rsidRPr="00103618">
        <w:rPr>
          <w:rFonts w:eastAsia="MS Mincho"/>
          <w:color w:val="000000"/>
          <w:w w:val="99"/>
          <w:sz w:val="24"/>
          <w:szCs w:val="24"/>
        </w:rPr>
        <w:t xml:space="preserve"> EGYPT……..2007.</w:t>
      </w:r>
    </w:p>
    <w:p w:rsidR="00FE3F9A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</w:rPr>
        <w:t xml:space="preserve">K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>.</w:t>
      </w:r>
      <w:r w:rsidRPr="00103618">
        <w:rPr>
          <w:color w:val="000000"/>
          <w:w w:val="99"/>
          <w:sz w:val="24"/>
          <w:szCs w:val="24"/>
        </w:rPr>
        <w:t xml:space="preserve"> </w:t>
      </w:r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>Role of EUS-</w:t>
      </w:r>
      <w:r w:rsidR="00C86FA1" w:rsidRPr="00103618">
        <w:rPr>
          <w:b/>
          <w:bCs/>
          <w:color w:val="000000"/>
          <w:w w:val="99"/>
          <w:sz w:val="24"/>
          <w:szCs w:val="24"/>
          <w:u w:val="single"/>
        </w:rPr>
        <w:t xml:space="preserve">FNA in </w:t>
      </w:r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 xml:space="preserve">gastric </w:t>
      </w:r>
      <w:proofErr w:type="spellStart"/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>submucosal</w:t>
      </w:r>
      <w:proofErr w:type="spellEnd"/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 xml:space="preserve"> tumors: Aichi Cancer Center Experience.</w:t>
      </w:r>
      <w:r w:rsidR="00FE3F9A" w:rsidRPr="00103618">
        <w:rPr>
          <w:color w:val="000000"/>
          <w:w w:val="99"/>
          <w:sz w:val="24"/>
          <w:szCs w:val="24"/>
        </w:rPr>
        <w:t xml:space="preserve"> Presented </w:t>
      </w:r>
      <w:r w:rsidR="00FE3F9A" w:rsidRPr="00103618">
        <w:rPr>
          <w:b/>
          <w:bCs/>
          <w:color w:val="000000"/>
          <w:w w:val="99"/>
          <w:sz w:val="24"/>
          <w:szCs w:val="24"/>
          <w:u w:val="single"/>
        </w:rPr>
        <w:t>orally</w:t>
      </w:r>
      <w:r w:rsidR="00FE3F9A" w:rsidRPr="00103618">
        <w:rPr>
          <w:color w:val="000000"/>
          <w:w w:val="99"/>
          <w:sz w:val="24"/>
          <w:szCs w:val="24"/>
        </w:rPr>
        <w:t xml:space="preserve"> in the proceedings of </w:t>
      </w:r>
      <w:r w:rsidR="00FE3F9A" w:rsidRPr="00103618">
        <w:rPr>
          <w:rFonts w:eastAsia="MS Mincho"/>
          <w:color w:val="000000"/>
          <w:w w:val="99"/>
          <w:sz w:val="24"/>
          <w:szCs w:val="24"/>
        </w:rPr>
        <w:t>APDW 2009, Asian Pacific Digestive Week. Sept. 27-30, 2009, Taipei, Taiwan.</w:t>
      </w:r>
    </w:p>
    <w:p w:rsidR="00C86FA1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A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Osman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="00C86FA1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Portal Vein Thrombosis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the in 7th annual scientific meeting on Gastroenterology &amp; Tropical Medicine.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EGYPT. December 2003.</w:t>
      </w:r>
    </w:p>
    <w:p w:rsidR="00020061" w:rsidRPr="00103618" w:rsidRDefault="0088605B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A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Farooq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Hashim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="00C86FA1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UDCA in liver</w:t>
      </w:r>
      <w:r w:rsidR="005C7AD1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="00C86FA1"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="00E84728" w:rsidRPr="00103618">
        <w:rPr>
          <w:rFonts w:eastAsia="MS Mincho"/>
          <w:color w:val="000000"/>
          <w:w w:val="99"/>
          <w:sz w:val="24"/>
          <w:szCs w:val="24"/>
        </w:rPr>
        <w:t xml:space="preserve">Presented </w:t>
      </w:r>
      <w:r w:rsidR="00E84728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="00E84728"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the </w:t>
      </w:r>
      <w:r w:rsidR="00020061" w:rsidRPr="00103618">
        <w:rPr>
          <w:rFonts w:eastAsia="MS Mincho"/>
          <w:color w:val="000000"/>
          <w:w w:val="99"/>
          <w:sz w:val="24"/>
          <w:szCs w:val="24"/>
        </w:rPr>
        <w:t>24</w:t>
      </w:r>
      <w:r w:rsidR="00020061"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>th</w:t>
      </w:r>
      <w:r w:rsidR="00AA1A35"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 xml:space="preserve"> </w:t>
      </w:r>
      <w:r w:rsidR="00020061" w:rsidRPr="00103618">
        <w:rPr>
          <w:rFonts w:eastAsia="MS Mincho"/>
          <w:color w:val="000000"/>
          <w:w w:val="99"/>
          <w:sz w:val="24"/>
          <w:szCs w:val="24"/>
        </w:rPr>
        <w:t>Biennial Meeting of the International Association for the Study of the Liver (IASL):7-11 SEPTEMBER, 2006, Cairo, EGYPT.</w:t>
      </w:r>
    </w:p>
    <w:p w:rsidR="00E84728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S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K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A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awaki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N Mizuno, K Hara, H Imamura, K Matsumoto, Y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 w:hint="eastAsia"/>
          <w:b/>
          <w:bCs/>
          <w:color w:val="000000"/>
          <w:w w:val="99"/>
          <w:sz w:val="24"/>
          <w:szCs w:val="24"/>
          <w:u w:val="single"/>
        </w:rPr>
        <w:t>EUS-guided FNA for the diagnosis of gallbladder mass lesions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as a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poster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APDW 2009, Asian Pacific Digestive Week. Sept. 27-30, 2009, Taipei, Taiwan.</w:t>
      </w:r>
    </w:p>
    <w:p w:rsidR="00E84728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lastRenderedPageBreak/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</w:t>
      </w:r>
      <w:proofErr w:type="gramStart"/>
      <w:r w:rsidRPr="00103618">
        <w:rPr>
          <w:rFonts w:eastAsia="MS Mincho" w:hint="eastAsia"/>
          <w:color w:val="000000"/>
          <w:w w:val="99"/>
          <w:sz w:val="24"/>
          <w:szCs w:val="24"/>
        </w:rPr>
        <w:t>A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Imamura,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K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 Kobayashi, H Suzuki</w:t>
      </w:r>
      <w:r w:rsidRPr="00103618">
        <w:rPr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EUS-FNA with the adjuvant of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Immunohistochemical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 stains for the diagnosis of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Schwannomas</w:t>
      </w:r>
      <w:proofErr w:type="spellEnd"/>
      <w:r w:rsidRPr="00103618">
        <w:rPr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Presented as a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poster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ACG 2009; Annual Scientific Meeting and Postgraduate course .October 23-29, 2009 San Diego Convention Center</w:t>
      </w:r>
      <w:r w:rsidRPr="00103618">
        <w:rPr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color w:val="000000"/>
          <w:w w:val="99"/>
          <w:sz w:val="24"/>
          <w:szCs w:val="24"/>
        </w:rPr>
        <w:t>San Diego, California, USA</w:t>
      </w:r>
      <w:r w:rsidRPr="00103618">
        <w:rPr>
          <w:color w:val="000000"/>
          <w:w w:val="99"/>
          <w:sz w:val="24"/>
          <w:szCs w:val="24"/>
        </w:rPr>
        <w:t>.</w:t>
      </w:r>
    </w:p>
    <w:p w:rsidR="005B7B4E" w:rsidRPr="00103618" w:rsidRDefault="00E84728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Imamura</w:t>
      </w:r>
      <w:r w:rsidRPr="00103618">
        <w:rPr>
          <w:rFonts w:eastAsia="MS Mincho"/>
          <w:color w:val="000000"/>
          <w:w w:val="99"/>
          <w:sz w:val="24"/>
          <w:szCs w:val="24"/>
        </w:rPr>
        <w:t>,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T Tamaki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The efficacy of the whole body PGD-PET for autoimmune pancreatitis and its associated extra-pancreatic autoimmune lesions. 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 xml:space="preserve">Presented as a </w:t>
      </w:r>
      <w:r w:rsidR="00922087"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poster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 xml:space="preserve"> in the proceedings of 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>the 40</w:t>
      </w:r>
      <w:r w:rsidR="005B7B4E"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>th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 xml:space="preserve"> Anniversary of 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>AP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 xml:space="preserve">A/JPS Joint meeting </w:t>
      </w:r>
      <w:r w:rsidR="00922087" w:rsidRPr="00103618">
        <w:rPr>
          <w:rFonts w:eastAsia="MS Mincho"/>
          <w:color w:val="000000"/>
          <w:w w:val="99"/>
          <w:sz w:val="24"/>
          <w:szCs w:val="24"/>
        </w:rPr>
        <w:t>2009</w:t>
      </w:r>
      <w:r w:rsidR="005B7B4E" w:rsidRPr="00103618">
        <w:rPr>
          <w:rFonts w:eastAsia="MS Mincho"/>
          <w:color w:val="000000"/>
          <w:w w:val="99"/>
          <w:sz w:val="24"/>
          <w:szCs w:val="24"/>
        </w:rPr>
        <w:t>. November 4-7, 2009 Honolulu, Hawaii, USA.</w:t>
      </w:r>
    </w:p>
    <w:p w:rsidR="00EC65D7" w:rsidRPr="00103618" w:rsidRDefault="00EC65D7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Guideline for management of cirrhotic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ascites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: Updates.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Scientific Meeting of Tropical Medicine and Gastroenterology Department,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 Hospital,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EGYPT……..2010.</w:t>
      </w:r>
    </w:p>
    <w:p w:rsidR="0081406C" w:rsidRPr="00103618" w:rsidRDefault="0081406C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EUS: Past, present &amp; Future.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Presented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orally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in the 13</w:t>
      </w:r>
      <w:r w:rsidRPr="00103618">
        <w:rPr>
          <w:rFonts w:eastAsia="MS Mincho"/>
          <w:color w:val="000000"/>
          <w:w w:val="99"/>
          <w:sz w:val="24"/>
          <w:szCs w:val="24"/>
          <w:vertAlign w:val="superscript"/>
        </w:rPr>
        <w:t>th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Annual Scientific Meeting of Tropical Medicine and Gastroenterology Department, 12-22 March, 2012,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University,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Assiut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EGYPT. </w:t>
      </w:r>
    </w:p>
    <w:p w:rsidR="0014011B" w:rsidRPr="00103618" w:rsidRDefault="00E84728" w:rsidP="00103618">
      <w:pPr>
        <w:pStyle w:val="ListParagraph"/>
        <w:numPr>
          <w:ilvl w:val="0"/>
          <w:numId w:val="18"/>
        </w:numPr>
        <w:spacing w:line="240" w:lineRule="auto"/>
        <w:ind w:left="0" w:hanging="360"/>
        <w:rPr>
          <w:b/>
          <w:bCs/>
          <w:spacing w:val="4"/>
          <w:sz w:val="24"/>
          <w:szCs w:val="24"/>
          <w:u w:val="single"/>
        </w:rPr>
      </w:pPr>
      <w:r w:rsidRPr="00103618">
        <w:rPr>
          <w:b/>
          <w:bCs/>
          <w:spacing w:val="4"/>
          <w:sz w:val="24"/>
          <w:szCs w:val="24"/>
          <w:u w:val="single"/>
        </w:rPr>
        <w:t>Abstract Submission</w:t>
      </w:r>
      <w:r w:rsidR="00BC2714" w:rsidRPr="00103618">
        <w:rPr>
          <w:b/>
          <w:bCs/>
          <w:spacing w:val="4"/>
          <w:sz w:val="24"/>
          <w:szCs w:val="24"/>
          <w:u w:val="single"/>
        </w:rPr>
        <w:t>:</w:t>
      </w:r>
      <w:r w:rsidR="0014011B" w:rsidRPr="00103618">
        <w:rPr>
          <w:b/>
          <w:bCs/>
          <w:spacing w:val="4"/>
          <w:sz w:val="24"/>
          <w:szCs w:val="24"/>
          <w:u w:val="single"/>
        </w:rPr>
        <w:t xml:space="preserve"> </w:t>
      </w:r>
    </w:p>
    <w:p w:rsidR="00AC23CF" w:rsidRPr="00103618" w:rsidRDefault="00AC23CF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S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K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A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awaki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N Mizuno, K Hara, H Imamura, K Matsumoto, Y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 w:hint="eastAsia"/>
          <w:b/>
          <w:bCs/>
          <w:color w:val="000000"/>
          <w:w w:val="99"/>
          <w:sz w:val="24"/>
          <w:szCs w:val="24"/>
          <w:u w:val="single"/>
        </w:rPr>
        <w:t>EUS-guided FNA for the diagnosis of gallbladder mass lesions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.</w:t>
      </w:r>
      <w:r w:rsidR="00E96F2D"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</w:t>
      </w:r>
      <w:r w:rsidR="00E96F2D" w:rsidRPr="00103618">
        <w:rPr>
          <w:rFonts w:eastAsia="MS Mincho"/>
          <w:color w:val="000000"/>
          <w:w w:val="99"/>
          <w:sz w:val="24"/>
          <w:szCs w:val="24"/>
        </w:rPr>
        <w:t xml:space="preserve">Journal of gastroenterology and </w:t>
      </w:r>
      <w:proofErr w:type="spellStart"/>
      <w:r w:rsidR="00E96F2D" w:rsidRPr="00103618">
        <w:rPr>
          <w:rFonts w:eastAsia="MS Mincho"/>
          <w:color w:val="000000"/>
          <w:w w:val="99"/>
          <w:sz w:val="24"/>
          <w:szCs w:val="24"/>
        </w:rPr>
        <w:t>Hepatology</w:t>
      </w:r>
      <w:proofErr w:type="spellEnd"/>
      <w:r w:rsidR="00E96F2D" w:rsidRPr="00103618">
        <w:rPr>
          <w:rFonts w:eastAsia="MS Mincho"/>
          <w:color w:val="000000"/>
          <w:w w:val="99"/>
          <w:sz w:val="24"/>
          <w:szCs w:val="24"/>
        </w:rPr>
        <w:t>.</w:t>
      </w:r>
    </w:p>
    <w:p w:rsidR="00AC23CF" w:rsidRPr="00103618" w:rsidRDefault="00AC23CF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, </w:t>
      </w:r>
      <w:proofErr w:type="gramStart"/>
      <w:r w:rsidRPr="00103618">
        <w:rPr>
          <w:rFonts w:eastAsia="MS Mincho" w:hint="eastAsia"/>
          <w:color w:val="000000"/>
          <w:w w:val="99"/>
          <w:sz w:val="24"/>
          <w:szCs w:val="24"/>
        </w:rPr>
        <w:t>A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Imamura,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</w:t>
      </w:r>
      <w:r w:rsidRPr="00103618">
        <w:rPr>
          <w:rFonts w:eastAsia="MS Mincho"/>
          <w:color w:val="000000"/>
          <w:w w:val="99"/>
          <w:sz w:val="24"/>
          <w:szCs w:val="24"/>
          <w:u w:val="single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, K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 Kobayashi, H Suzuki</w:t>
      </w:r>
      <w:r w:rsidRPr="00103618">
        <w:rPr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EUS-FNA with the adjuvant of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Immunohistochemical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 stains for the diagnosis of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>Schwannomas</w:t>
      </w:r>
      <w:proofErr w:type="spellEnd"/>
      <w:r w:rsidRPr="00103618">
        <w:rPr>
          <w:b/>
          <w:bCs/>
          <w:color w:val="000000"/>
          <w:w w:val="99"/>
          <w:sz w:val="24"/>
          <w:szCs w:val="24"/>
          <w:u w:val="single"/>
        </w:rPr>
        <w:t>.</w:t>
      </w:r>
      <w:r w:rsidRPr="00103618">
        <w:rPr>
          <w:color w:val="000000"/>
          <w:w w:val="99"/>
          <w:sz w:val="24"/>
          <w:szCs w:val="24"/>
        </w:rPr>
        <w:t xml:space="preserve"> </w:t>
      </w:r>
    </w:p>
    <w:p w:rsidR="005C7AD1" w:rsidRPr="00103618" w:rsidRDefault="005C7AD1" w:rsidP="00103618">
      <w:pPr>
        <w:pStyle w:val="ListParagraph"/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</w:p>
    <w:p w:rsidR="0014011B" w:rsidRPr="00103618" w:rsidRDefault="00AC23CF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/>
          <w:w w:val="99"/>
          <w:sz w:val="24"/>
          <w:szCs w:val="24"/>
          <w:u w:val="single"/>
        </w:rPr>
      </w:pPr>
      <w:r w:rsidRPr="00103618">
        <w:rPr>
          <w:rFonts w:eastAsia="MS Mincho" w:hint="eastAsia"/>
          <w:color w:val="000000"/>
          <w:w w:val="99"/>
          <w:sz w:val="24"/>
          <w:szCs w:val="24"/>
        </w:rPr>
        <w:t>S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N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Mizuno,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Hara, H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Imamura</w:t>
      </w:r>
      <w:r w:rsidRPr="00103618">
        <w:rPr>
          <w:rFonts w:eastAsia="MS Mincho"/>
          <w:color w:val="000000"/>
          <w:w w:val="99"/>
          <w:sz w:val="24"/>
          <w:szCs w:val="24"/>
        </w:rPr>
        <w:t>,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Matsumoto, Y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 xml:space="preserve"> Kobayashi, H Suzuki, </w:t>
      </w:r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 xml:space="preserve">M </w:t>
      </w:r>
      <w:proofErr w:type="spellStart"/>
      <w:r w:rsidRPr="00103618">
        <w:rPr>
          <w:rFonts w:eastAsia="MS Mincho" w:hint="eastAsia"/>
          <w:color w:val="000000"/>
          <w:w w:val="99"/>
          <w:sz w:val="24"/>
          <w:szCs w:val="24"/>
          <w:u w:val="single"/>
        </w:rPr>
        <w:t>Mekky</w:t>
      </w:r>
      <w:proofErr w:type="spellEnd"/>
      <w:r w:rsidRPr="00103618">
        <w:rPr>
          <w:rFonts w:eastAsia="MS Mincho" w:hint="eastAsia"/>
          <w:color w:val="000000"/>
          <w:w w:val="99"/>
          <w:sz w:val="24"/>
          <w:szCs w:val="24"/>
        </w:rPr>
        <w:t>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r w:rsidRPr="00103618">
        <w:rPr>
          <w:rFonts w:eastAsia="MS Mincho" w:hint="eastAsia"/>
          <w:color w:val="000000"/>
          <w:w w:val="99"/>
          <w:sz w:val="24"/>
          <w:szCs w:val="24"/>
        </w:rPr>
        <w:t>T Tamaki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The efficacy of the whole body PGD-PET for autoimmune pancreatitis and its associated extra-pancreatic autoimmune lesions. </w:t>
      </w:r>
    </w:p>
    <w:p w:rsidR="0014011B" w:rsidRPr="00103618" w:rsidRDefault="0014011B" w:rsidP="00103618">
      <w:pPr>
        <w:pStyle w:val="ListParagraph"/>
        <w:numPr>
          <w:ilvl w:val="0"/>
          <w:numId w:val="18"/>
        </w:numPr>
        <w:spacing w:line="240" w:lineRule="auto"/>
        <w:ind w:left="0" w:hanging="450"/>
        <w:rPr>
          <w:b/>
          <w:bCs/>
          <w:spacing w:val="4"/>
          <w:sz w:val="24"/>
          <w:szCs w:val="24"/>
          <w:u w:val="single"/>
        </w:rPr>
      </w:pPr>
      <w:r w:rsidRPr="00103618">
        <w:rPr>
          <w:b/>
          <w:bCs/>
          <w:spacing w:val="4"/>
          <w:sz w:val="24"/>
          <w:szCs w:val="24"/>
          <w:u w:val="single"/>
        </w:rPr>
        <w:t>Full article publications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S, Hara K, Mizuno N,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Imaoka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H, Ogura T,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Haba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S,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MA,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Bhatia V,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Hosoda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W,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Yatabe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Shimizu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Niwa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Tajika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M, Kondo S, Tanaka T,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Tamada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  <w:u w:val="single"/>
        </w:rPr>
        <w:t xml:space="preserve">. </w:t>
      </w:r>
      <w:hyperlink r:id="rId8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Diagnostic yield of endoscopic retrograde </w:t>
        </w:r>
        <w:proofErr w:type="spellStart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cholangiography</w:t>
        </w:r>
        <w:proofErr w:type="spellEnd"/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 and of EUS-guided fine needle aspiration sampling in gallbladder carcinomas.</w:t>
        </w:r>
      </w:hyperlink>
      <w:r w:rsidRPr="00103618">
        <w:rPr>
          <w:rFonts w:eastAsia="MS Mincho"/>
          <w:color w:val="000000"/>
          <w:w w:val="99"/>
        </w:rPr>
        <w:t xml:space="preserve"> J </w:t>
      </w:r>
      <w:proofErr w:type="spellStart"/>
      <w:r w:rsidRPr="00103618">
        <w:rPr>
          <w:rFonts w:eastAsia="MS Mincho"/>
          <w:color w:val="000000"/>
          <w:w w:val="99"/>
        </w:rPr>
        <w:t>Hepatobiliary</w:t>
      </w:r>
      <w:proofErr w:type="spellEnd"/>
      <w:r w:rsidRPr="00103618">
        <w:rPr>
          <w:rFonts w:eastAsia="MS Mincho"/>
          <w:color w:val="000000"/>
          <w:w w:val="99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</w:rPr>
        <w:t>Pancreat</w:t>
      </w:r>
      <w:proofErr w:type="spellEnd"/>
      <w:r w:rsidRPr="00103618">
        <w:rPr>
          <w:rFonts w:eastAsia="MS Mincho"/>
          <w:color w:val="000000"/>
          <w:w w:val="99"/>
        </w:rPr>
        <w:t xml:space="preserve"> Sci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. 2011 Nov 30. 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S, Matsuo K, Mizuno N, Hara K,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MA,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Vikram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B,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Hosoda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W,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Yatabe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Shimizu Y, Kondo S,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Tajika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M,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Niwa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Tamada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K. </w:t>
      </w:r>
      <w:hyperlink r:id="rId9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>Role of endoscopic ultrasound and endoscopic ultrasound-guided fine-needle aspiration in diagnosing metastasis to the pancreas: a tertiary center experience.</w:t>
        </w:r>
      </w:hyperlink>
      <w:r w:rsidRPr="00103618">
        <w:rPr>
          <w:rFonts w:eastAsia="MS Mincho"/>
          <w:color w:val="000000"/>
          <w:w w:val="99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</w:rPr>
        <w:t>Pancreatology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>. 2011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;11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(4):390-8.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Epub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2011 Aug 30.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S,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A, Mizuno N, Hara K,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MA</w:t>
      </w:r>
      <w:r w:rsidRPr="00103618">
        <w:rPr>
          <w:rFonts w:eastAsia="MS Mincho"/>
          <w:color w:val="000000"/>
          <w:w w:val="99"/>
          <w:sz w:val="24"/>
          <w:szCs w:val="24"/>
        </w:rPr>
        <w:t>, El-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Amin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H, El-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Abdeen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Ahmed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Sayed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Z,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Tajika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M,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Niwa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K. </w:t>
      </w:r>
      <w:hyperlink r:id="rId10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Contrast-enhanced endoscopic </w:t>
        </w:r>
        <w:proofErr w:type="spellStart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ultrasonography</w:t>
        </w:r>
        <w:proofErr w:type="spellEnd"/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 (CE-EUS) findings in adrenal metastasis from renal cell carcinoma.</w:t>
        </w:r>
      </w:hyperlink>
      <w:r w:rsidRPr="00103618">
        <w:rPr>
          <w:rFonts w:eastAsia="MS Mincho"/>
          <w:color w:val="000000"/>
          <w:w w:val="99"/>
        </w:rPr>
        <w:t xml:space="preserve"> J Med </w:t>
      </w:r>
      <w:proofErr w:type="spellStart"/>
      <w:r w:rsidRPr="00103618">
        <w:rPr>
          <w:rFonts w:eastAsia="MS Mincho"/>
          <w:color w:val="000000"/>
          <w:w w:val="99"/>
        </w:rPr>
        <w:t>Ultrason</w:t>
      </w:r>
      <w:proofErr w:type="spellEnd"/>
      <w:r w:rsidRPr="00103618">
        <w:rPr>
          <w:rFonts w:eastAsia="MS Mincho"/>
          <w:color w:val="000000"/>
          <w:w w:val="99"/>
        </w:rPr>
        <w:t xml:space="preserve"> (2001)</w:t>
      </w:r>
      <w:r w:rsidRPr="00103618">
        <w:rPr>
          <w:rFonts w:eastAsia="MS Mincho"/>
          <w:color w:val="000000"/>
          <w:w w:val="99"/>
          <w:sz w:val="24"/>
          <w:szCs w:val="24"/>
        </w:rPr>
        <w:t>. 2011 Apr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;38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(2):89-92.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Epub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2011 Jan 5.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S,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A, Mizuno N, Hara K,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MA,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 Bhatia V,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Hosoda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W,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Yatabe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Shimizu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Tamada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Niwa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K. </w:t>
      </w:r>
      <w:hyperlink r:id="rId11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Endoscopic ultrasound-guided fine-needle aspiration for the </w:t>
        </w:r>
        <w:r w:rsidRPr="00103618">
          <w:rPr>
            <w:rFonts w:eastAsia="MS Mincho"/>
            <w:b/>
            <w:bCs/>
            <w:color w:val="000000"/>
            <w:w w:val="99"/>
            <w:u w:val="single"/>
          </w:rPr>
          <w:lastRenderedPageBreak/>
          <w:t xml:space="preserve">diagnosis of retroperitoneal </w:t>
        </w:r>
        <w:proofErr w:type="spellStart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schwannoma</w:t>
        </w:r>
        <w:proofErr w:type="spellEnd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.</w:t>
        </w:r>
      </w:hyperlink>
      <w:r w:rsidRPr="00103618">
        <w:rPr>
          <w:rFonts w:eastAsia="MS Mincho"/>
          <w:color w:val="000000"/>
          <w:w w:val="99"/>
        </w:rPr>
        <w:t xml:space="preserve"> Endoscopy</w:t>
      </w:r>
      <w:r w:rsidRPr="00103618">
        <w:rPr>
          <w:rFonts w:eastAsia="MS Mincho"/>
          <w:color w:val="000000"/>
          <w:w w:val="99"/>
          <w:sz w:val="24"/>
          <w:szCs w:val="24"/>
        </w:rPr>
        <w:t>. 2010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;42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Suppl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2:E296.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Epub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2010 Nov 26. No abstract available. 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S</w:t>
      </w:r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,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MA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Bhatia V,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A, Mizuno N, Hara K,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Hosoda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W, Shimizu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Tamada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Niwa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K. </w:t>
      </w:r>
      <w:hyperlink r:id="rId12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Can EUS-guided FNA distinguish between gallbladder cancer and </w:t>
        </w:r>
        <w:proofErr w:type="spellStart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xanthogranulomatous</w:t>
        </w:r>
        <w:proofErr w:type="spellEnd"/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 </w:t>
        </w:r>
        <w:proofErr w:type="spellStart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cholecystitis</w:t>
        </w:r>
        <w:proofErr w:type="spellEnd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?</w:t>
        </w:r>
      </w:hyperlink>
      <w:r w:rsidRPr="00103618">
        <w:rPr>
          <w:rFonts w:eastAsia="MS Mincho"/>
          <w:color w:val="000000"/>
          <w:w w:val="99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</w:rPr>
        <w:t>Gastrointest</w:t>
      </w:r>
      <w:proofErr w:type="spellEnd"/>
      <w:r w:rsidRPr="00103618">
        <w:rPr>
          <w:rFonts w:eastAsia="MS Mincho"/>
          <w:color w:val="000000"/>
          <w:w w:val="99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</w:rPr>
        <w:t>Endosc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>. 2010 Sep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;72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(3):622-7.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Epub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2010 Jul 13.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Hijioka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S,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Hifumi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M, </w:t>
      </w: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MA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Takekuma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Kawaguchi T,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Yokomizo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H, Sato T. </w:t>
      </w:r>
      <w:hyperlink r:id="rId13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Total </w:t>
        </w:r>
        <w:proofErr w:type="spellStart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pancreatectomy</w:t>
        </w:r>
        <w:proofErr w:type="spellEnd"/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 for metastatic renal cell carcinoma with marked extension into the main pancreatic duct.</w:t>
        </w:r>
      </w:hyperlink>
      <w:r w:rsidRPr="00103618">
        <w:rPr>
          <w:rFonts w:eastAsia="MS Mincho"/>
          <w:color w:val="000000"/>
          <w:w w:val="99"/>
        </w:rPr>
        <w:t xml:space="preserve"> Intern Med</w:t>
      </w:r>
      <w:r w:rsidRPr="00103618">
        <w:rPr>
          <w:rFonts w:eastAsia="MS Mincho"/>
          <w:color w:val="000000"/>
          <w:w w:val="99"/>
          <w:sz w:val="24"/>
          <w:szCs w:val="24"/>
        </w:rPr>
        <w:t>. 2010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;49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(6):557-62.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Epub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2010 Mar 15.</w:t>
      </w:r>
    </w:p>
    <w:p w:rsidR="00CC2444" w:rsidRPr="00103618" w:rsidRDefault="00CC2444" w:rsidP="0010361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MS Mincho"/>
          <w:color w:val="000000"/>
          <w:w w:val="99"/>
          <w:sz w:val="24"/>
          <w:szCs w:val="24"/>
        </w:rPr>
      </w:pPr>
      <w:proofErr w:type="spellStart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>Mekky</w:t>
      </w:r>
      <w:proofErr w:type="spellEnd"/>
      <w:r w:rsidRPr="00103618">
        <w:rPr>
          <w:rFonts w:eastAsia="MS Mincho"/>
          <w:b/>
          <w:bCs/>
          <w:color w:val="000000"/>
          <w:w w:val="99"/>
          <w:sz w:val="24"/>
          <w:szCs w:val="24"/>
        </w:rPr>
        <w:t xml:space="preserve"> MA</w:t>
      </w:r>
      <w:r w:rsidRPr="00103618">
        <w:rPr>
          <w:rFonts w:eastAsia="MS Mincho"/>
          <w:color w:val="000000"/>
          <w:w w:val="99"/>
          <w:sz w:val="24"/>
          <w:szCs w:val="24"/>
        </w:rPr>
        <w:t xml:space="preserve">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Yamao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K,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Sawaki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A, Mizuno N, Hara K,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Nafeh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MA,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Osman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AM,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Koshikawa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T,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Yatabe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Y, Bhatia V. </w:t>
      </w:r>
      <w:hyperlink r:id="rId14" w:history="1"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Diagnostic utility of EUS-guided FNA in patients with gastric </w:t>
        </w:r>
        <w:proofErr w:type="spellStart"/>
        <w:r w:rsidRPr="00103618">
          <w:rPr>
            <w:rFonts w:eastAsia="MS Mincho"/>
            <w:b/>
            <w:bCs/>
            <w:color w:val="000000"/>
            <w:w w:val="99"/>
            <w:u w:val="single"/>
          </w:rPr>
          <w:t>submucosal</w:t>
        </w:r>
        <w:proofErr w:type="spellEnd"/>
        <w:r w:rsidRPr="00103618">
          <w:rPr>
            <w:rFonts w:eastAsia="MS Mincho"/>
            <w:b/>
            <w:bCs/>
            <w:color w:val="000000"/>
            <w:w w:val="99"/>
            <w:u w:val="single"/>
          </w:rPr>
          <w:t xml:space="preserve"> tumors.</w:t>
        </w:r>
      </w:hyperlink>
      <w:r w:rsidRPr="00103618">
        <w:rPr>
          <w:rFonts w:eastAsia="MS Mincho"/>
          <w:b/>
          <w:bCs/>
          <w:color w:val="000000"/>
          <w:w w:val="99"/>
          <w:u w:val="single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</w:rPr>
        <w:t>Gastrointest</w:t>
      </w:r>
      <w:proofErr w:type="spellEnd"/>
      <w:r w:rsidRPr="00103618">
        <w:rPr>
          <w:rFonts w:eastAsia="MS Mincho"/>
          <w:color w:val="000000"/>
          <w:w w:val="99"/>
        </w:rPr>
        <w:t xml:space="preserve"> </w:t>
      </w:r>
      <w:proofErr w:type="spellStart"/>
      <w:r w:rsidRPr="00103618">
        <w:rPr>
          <w:rFonts w:eastAsia="MS Mincho"/>
          <w:color w:val="000000"/>
          <w:w w:val="99"/>
        </w:rPr>
        <w:t>Endosc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>. 2010 May</w:t>
      </w:r>
      <w:proofErr w:type="gramStart"/>
      <w:r w:rsidRPr="00103618">
        <w:rPr>
          <w:rFonts w:eastAsia="MS Mincho"/>
          <w:color w:val="000000"/>
          <w:w w:val="99"/>
          <w:sz w:val="24"/>
          <w:szCs w:val="24"/>
        </w:rPr>
        <w:t>;71</w:t>
      </w:r>
      <w:proofErr w:type="gramEnd"/>
      <w:r w:rsidRPr="00103618">
        <w:rPr>
          <w:rFonts w:eastAsia="MS Mincho"/>
          <w:color w:val="000000"/>
          <w:w w:val="99"/>
          <w:sz w:val="24"/>
          <w:szCs w:val="24"/>
        </w:rPr>
        <w:t xml:space="preserve">(6):913-9. </w:t>
      </w:r>
      <w:proofErr w:type="spellStart"/>
      <w:r w:rsidRPr="00103618">
        <w:rPr>
          <w:rFonts w:eastAsia="MS Mincho"/>
          <w:color w:val="000000"/>
          <w:w w:val="99"/>
          <w:sz w:val="24"/>
          <w:szCs w:val="24"/>
        </w:rPr>
        <w:t>Epub</w:t>
      </w:r>
      <w:proofErr w:type="spellEnd"/>
      <w:r w:rsidRPr="00103618">
        <w:rPr>
          <w:rFonts w:eastAsia="MS Mincho"/>
          <w:color w:val="000000"/>
          <w:w w:val="99"/>
          <w:sz w:val="24"/>
          <w:szCs w:val="24"/>
        </w:rPr>
        <w:t xml:space="preserve"> 2010 Mar 11.</w:t>
      </w:r>
    </w:p>
    <w:sectPr w:rsidR="00CC2444" w:rsidRPr="00103618" w:rsidSect="000664F7">
      <w:footerReference w:type="default" r:id="rId15"/>
      <w:pgSz w:w="12240" w:h="15840"/>
      <w:pgMar w:top="1440" w:right="1350" w:bottom="1440" w:left="153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18" w:rsidRDefault="00B37518" w:rsidP="003B66ED">
      <w:pPr>
        <w:spacing w:after="0" w:line="240" w:lineRule="auto"/>
      </w:pPr>
      <w:r>
        <w:separator/>
      </w:r>
    </w:p>
  </w:endnote>
  <w:endnote w:type="continuationSeparator" w:id="0">
    <w:p w:rsidR="00B37518" w:rsidRDefault="00B37518" w:rsidP="003B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5E" w:rsidRDefault="00203209">
    <w:pPr>
      <w:pStyle w:val="Footer"/>
      <w:jc w:val="right"/>
    </w:pPr>
    <w:fldSimple w:instr=" PAGE   \* MERGEFORMAT ">
      <w:r w:rsidR="006A5F3C">
        <w:rPr>
          <w:noProof/>
        </w:rPr>
        <w:t>4</w:t>
      </w:r>
    </w:fldSimple>
  </w:p>
  <w:p w:rsidR="0068015E" w:rsidRDefault="00680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18" w:rsidRDefault="00B37518" w:rsidP="003B66ED">
      <w:pPr>
        <w:spacing w:after="0" w:line="240" w:lineRule="auto"/>
      </w:pPr>
      <w:r>
        <w:separator/>
      </w:r>
    </w:p>
  </w:footnote>
  <w:footnote w:type="continuationSeparator" w:id="0">
    <w:p w:rsidR="00B37518" w:rsidRDefault="00B37518" w:rsidP="003B6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D5"/>
    <w:multiLevelType w:val="hybridMultilevel"/>
    <w:tmpl w:val="77CC5FF8"/>
    <w:lvl w:ilvl="0" w:tplc="7BF880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434E"/>
    <w:multiLevelType w:val="hybridMultilevel"/>
    <w:tmpl w:val="AC3E34FA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5A0"/>
    <w:multiLevelType w:val="hybridMultilevel"/>
    <w:tmpl w:val="E5B2A192"/>
    <w:lvl w:ilvl="0" w:tplc="B5FAC32C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">
    <w:nsid w:val="0CF24E01"/>
    <w:multiLevelType w:val="hybridMultilevel"/>
    <w:tmpl w:val="5380C3E6"/>
    <w:lvl w:ilvl="0" w:tplc="60FAD7B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12A31"/>
    <w:multiLevelType w:val="hybridMultilevel"/>
    <w:tmpl w:val="CAF80AFE"/>
    <w:lvl w:ilvl="0" w:tplc="4CBAEAEA">
      <w:start w:val="1999"/>
      <w:numFmt w:val="decimal"/>
      <w:lvlText w:val="%1"/>
      <w:lvlJc w:val="left"/>
      <w:pPr>
        <w:tabs>
          <w:tab w:val="num" w:pos="2505"/>
        </w:tabs>
        <w:ind w:left="2505" w:hanging="2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64541"/>
    <w:multiLevelType w:val="hybridMultilevel"/>
    <w:tmpl w:val="0218B3F6"/>
    <w:lvl w:ilvl="0" w:tplc="28F46B2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6">
    <w:nsid w:val="136C5496"/>
    <w:multiLevelType w:val="hybridMultilevel"/>
    <w:tmpl w:val="A03813C4"/>
    <w:lvl w:ilvl="0" w:tplc="A02C2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6482"/>
    <w:multiLevelType w:val="hybridMultilevel"/>
    <w:tmpl w:val="105AB32E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7FF"/>
    <w:multiLevelType w:val="hybridMultilevel"/>
    <w:tmpl w:val="618CB732"/>
    <w:lvl w:ilvl="0" w:tplc="31FABD9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095094"/>
    <w:multiLevelType w:val="hybridMultilevel"/>
    <w:tmpl w:val="C56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4249B"/>
    <w:multiLevelType w:val="hybridMultilevel"/>
    <w:tmpl w:val="063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800C3"/>
    <w:multiLevelType w:val="hybridMultilevel"/>
    <w:tmpl w:val="C2B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C73D3"/>
    <w:multiLevelType w:val="hybridMultilevel"/>
    <w:tmpl w:val="4F0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B54"/>
    <w:multiLevelType w:val="hybridMultilevel"/>
    <w:tmpl w:val="2072069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2741116D"/>
    <w:multiLevelType w:val="hybridMultilevel"/>
    <w:tmpl w:val="6324FC3A"/>
    <w:lvl w:ilvl="0" w:tplc="54F0CC20">
      <w:start w:val="2004"/>
      <w:numFmt w:val="decimal"/>
      <w:lvlText w:val="%1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65299"/>
    <w:multiLevelType w:val="hybridMultilevel"/>
    <w:tmpl w:val="11DC62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993345C"/>
    <w:multiLevelType w:val="hybridMultilevel"/>
    <w:tmpl w:val="D9844AF8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B4C21"/>
    <w:multiLevelType w:val="hybridMultilevel"/>
    <w:tmpl w:val="8CA4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67F30"/>
    <w:multiLevelType w:val="hybridMultilevel"/>
    <w:tmpl w:val="2BBE7662"/>
    <w:lvl w:ilvl="0" w:tplc="776E49DE">
      <w:start w:val="18"/>
      <w:numFmt w:val="decimal"/>
      <w:lvlText w:val="%1."/>
      <w:lvlJc w:val="left"/>
      <w:pPr>
        <w:tabs>
          <w:tab w:val="num" w:pos="1080"/>
        </w:tabs>
        <w:ind w:left="1080" w:hanging="960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5D746F0"/>
    <w:multiLevelType w:val="hybridMultilevel"/>
    <w:tmpl w:val="3368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50DA9"/>
    <w:multiLevelType w:val="hybridMultilevel"/>
    <w:tmpl w:val="E0B63D50"/>
    <w:lvl w:ilvl="0" w:tplc="C0A27A86">
      <w:start w:val="18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1">
    <w:nsid w:val="389B528F"/>
    <w:multiLevelType w:val="hybridMultilevel"/>
    <w:tmpl w:val="3D008BD4"/>
    <w:lvl w:ilvl="0" w:tplc="AFA278A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2">
    <w:nsid w:val="392D3054"/>
    <w:multiLevelType w:val="hybridMultilevel"/>
    <w:tmpl w:val="167A9156"/>
    <w:lvl w:ilvl="0" w:tplc="3746DF1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3">
    <w:nsid w:val="3F795735"/>
    <w:multiLevelType w:val="hybridMultilevel"/>
    <w:tmpl w:val="BE7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94FA9"/>
    <w:multiLevelType w:val="hybridMultilevel"/>
    <w:tmpl w:val="6AB65374"/>
    <w:lvl w:ilvl="0" w:tplc="D346BDDE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5265269F"/>
    <w:multiLevelType w:val="hybridMultilevel"/>
    <w:tmpl w:val="8CEA5014"/>
    <w:lvl w:ilvl="0" w:tplc="13F27CC2"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6">
    <w:nsid w:val="587D6CF0"/>
    <w:multiLevelType w:val="hybridMultilevel"/>
    <w:tmpl w:val="E24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86EE1"/>
    <w:multiLevelType w:val="hybridMultilevel"/>
    <w:tmpl w:val="B7000274"/>
    <w:lvl w:ilvl="0" w:tplc="0C5A216C">
      <w:start w:val="199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CD61B5"/>
    <w:multiLevelType w:val="hybridMultilevel"/>
    <w:tmpl w:val="41108430"/>
    <w:lvl w:ilvl="0" w:tplc="0E2064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857C09"/>
    <w:multiLevelType w:val="hybridMultilevel"/>
    <w:tmpl w:val="9FACF230"/>
    <w:lvl w:ilvl="0" w:tplc="27E8784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0">
    <w:nsid w:val="65D15AED"/>
    <w:multiLevelType w:val="hybridMultilevel"/>
    <w:tmpl w:val="23C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C7BF0"/>
    <w:multiLevelType w:val="hybridMultilevel"/>
    <w:tmpl w:val="D7068E08"/>
    <w:lvl w:ilvl="0" w:tplc="2D043FE6">
      <w:start w:val="18"/>
      <w:numFmt w:val="decimal"/>
      <w:lvlText w:val="%1."/>
      <w:lvlJc w:val="left"/>
      <w:pPr>
        <w:tabs>
          <w:tab w:val="num" w:pos="1065"/>
        </w:tabs>
        <w:ind w:left="1065" w:hanging="945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696468FC"/>
    <w:multiLevelType w:val="hybridMultilevel"/>
    <w:tmpl w:val="536A8BF4"/>
    <w:lvl w:ilvl="0" w:tplc="BB72AB70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AA20D61"/>
    <w:multiLevelType w:val="hybridMultilevel"/>
    <w:tmpl w:val="DA6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C79A8"/>
    <w:multiLevelType w:val="hybridMultilevel"/>
    <w:tmpl w:val="CB4A53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F527690"/>
    <w:multiLevelType w:val="hybridMultilevel"/>
    <w:tmpl w:val="DD90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C06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019AF"/>
    <w:multiLevelType w:val="hybridMultilevel"/>
    <w:tmpl w:val="26CA754C"/>
    <w:lvl w:ilvl="0" w:tplc="20607014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7">
    <w:nsid w:val="78A80D7E"/>
    <w:multiLevelType w:val="hybridMultilevel"/>
    <w:tmpl w:val="B1F210C6"/>
    <w:lvl w:ilvl="0" w:tplc="129E7A88">
      <w:start w:val="1"/>
      <w:numFmt w:val="bullet"/>
      <w:lvlText w:val=""/>
      <w:lvlJc w:val="left"/>
      <w:pPr>
        <w:tabs>
          <w:tab w:val="num" w:pos="1053"/>
        </w:tabs>
        <w:ind w:left="540" w:firstLine="153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38">
    <w:nsid w:val="7D0F0261"/>
    <w:multiLevelType w:val="hybridMultilevel"/>
    <w:tmpl w:val="30825B2E"/>
    <w:lvl w:ilvl="0" w:tplc="89C6FB1E">
      <w:start w:val="2004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167102"/>
    <w:multiLevelType w:val="hybridMultilevel"/>
    <w:tmpl w:val="728493A6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8"/>
  </w:num>
  <w:num w:numId="4">
    <w:abstractNumId w:val="5"/>
  </w:num>
  <w:num w:numId="5">
    <w:abstractNumId w:val="20"/>
  </w:num>
  <w:num w:numId="6">
    <w:abstractNumId w:val="21"/>
  </w:num>
  <w:num w:numId="7">
    <w:abstractNumId w:val="29"/>
  </w:num>
  <w:num w:numId="8">
    <w:abstractNumId w:val="36"/>
  </w:num>
  <w:num w:numId="9">
    <w:abstractNumId w:val="22"/>
  </w:num>
  <w:num w:numId="10">
    <w:abstractNumId w:val="2"/>
  </w:num>
  <w:num w:numId="11">
    <w:abstractNumId w:val="32"/>
  </w:num>
  <w:num w:numId="12">
    <w:abstractNumId w:val="24"/>
  </w:num>
  <w:num w:numId="13">
    <w:abstractNumId w:val="4"/>
  </w:num>
  <w:num w:numId="14">
    <w:abstractNumId w:val="38"/>
  </w:num>
  <w:num w:numId="15">
    <w:abstractNumId w:val="14"/>
  </w:num>
  <w:num w:numId="16">
    <w:abstractNumId w:val="27"/>
  </w:num>
  <w:num w:numId="17">
    <w:abstractNumId w:val="37"/>
  </w:num>
  <w:num w:numId="18">
    <w:abstractNumId w:val="7"/>
  </w:num>
  <w:num w:numId="19">
    <w:abstractNumId w:val="15"/>
  </w:num>
  <w:num w:numId="20">
    <w:abstractNumId w:val="34"/>
  </w:num>
  <w:num w:numId="21">
    <w:abstractNumId w:val="3"/>
  </w:num>
  <w:num w:numId="22">
    <w:abstractNumId w:val="1"/>
  </w:num>
  <w:num w:numId="23">
    <w:abstractNumId w:val="35"/>
  </w:num>
  <w:num w:numId="24">
    <w:abstractNumId w:val="13"/>
  </w:num>
  <w:num w:numId="25">
    <w:abstractNumId w:val="0"/>
  </w:num>
  <w:num w:numId="26">
    <w:abstractNumId w:val="23"/>
  </w:num>
  <w:num w:numId="27">
    <w:abstractNumId w:val="39"/>
  </w:num>
  <w:num w:numId="28">
    <w:abstractNumId w:val="16"/>
  </w:num>
  <w:num w:numId="29">
    <w:abstractNumId w:val="19"/>
  </w:num>
  <w:num w:numId="30">
    <w:abstractNumId w:val="12"/>
  </w:num>
  <w:num w:numId="31">
    <w:abstractNumId w:val="33"/>
  </w:num>
  <w:num w:numId="32">
    <w:abstractNumId w:val="8"/>
  </w:num>
  <w:num w:numId="33">
    <w:abstractNumId w:val="17"/>
  </w:num>
  <w:num w:numId="34">
    <w:abstractNumId w:val="11"/>
  </w:num>
  <w:num w:numId="35">
    <w:abstractNumId w:val="26"/>
  </w:num>
  <w:num w:numId="36">
    <w:abstractNumId w:val="28"/>
  </w:num>
  <w:num w:numId="37">
    <w:abstractNumId w:val="6"/>
  </w:num>
  <w:num w:numId="38">
    <w:abstractNumId w:val="10"/>
  </w:num>
  <w:num w:numId="39">
    <w:abstractNumId w:val="3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ED"/>
    <w:rsid w:val="00002F9F"/>
    <w:rsid w:val="0001088C"/>
    <w:rsid w:val="000138C4"/>
    <w:rsid w:val="00020061"/>
    <w:rsid w:val="000556FB"/>
    <w:rsid w:val="000664F7"/>
    <w:rsid w:val="00075F50"/>
    <w:rsid w:val="00090D48"/>
    <w:rsid w:val="000F74AE"/>
    <w:rsid w:val="000F7C98"/>
    <w:rsid w:val="001009F7"/>
    <w:rsid w:val="00103618"/>
    <w:rsid w:val="001159E6"/>
    <w:rsid w:val="0014011B"/>
    <w:rsid w:val="0015233F"/>
    <w:rsid w:val="00163C30"/>
    <w:rsid w:val="001B0008"/>
    <w:rsid w:val="001B39C9"/>
    <w:rsid w:val="001B3F41"/>
    <w:rsid w:val="001F0286"/>
    <w:rsid w:val="00203209"/>
    <w:rsid w:val="00207965"/>
    <w:rsid w:val="0022413F"/>
    <w:rsid w:val="002343AF"/>
    <w:rsid w:val="00235F13"/>
    <w:rsid w:val="002446BA"/>
    <w:rsid w:val="00250FB8"/>
    <w:rsid w:val="002567AF"/>
    <w:rsid w:val="00275977"/>
    <w:rsid w:val="00285CDF"/>
    <w:rsid w:val="00296888"/>
    <w:rsid w:val="002E03F6"/>
    <w:rsid w:val="002E7C1F"/>
    <w:rsid w:val="003419A4"/>
    <w:rsid w:val="003424B1"/>
    <w:rsid w:val="00352B8B"/>
    <w:rsid w:val="00362567"/>
    <w:rsid w:val="00377B57"/>
    <w:rsid w:val="003805A7"/>
    <w:rsid w:val="003918E3"/>
    <w:rsid w:val="003B66ED"/>
    <w:rsid w:val="003E1185"/>
    <w:rsid w:val="003E2EB6"/>
    <w:rsid w:val="00414B21"/>
    <w:rsid w:val="00415CB0"/>
    <w:rsid w:val="0044354F"/>
    <w:rsid w:val="004453E7"/>
    <w:rsid w:val="00447A22"/>
    <w:rsid w:val="00457E23"/>
    <w:rsid w:val="004640CB"/>
    <w:rsid w:val="004737F4"/>
    <w:rsid w:val="00486392"/>
    <w:rsid w:val="004918E1"/>
    <w:rsid w:val="00496018"/>
    <w:rsid w:val="004A2E41"/>
    <w:rsid w:val="004A76F4"/>
    <w:rsid w:val="00514C69"/>
    <w:rsid w:val="00522502"/>
    <w:rsid w:val="005438DC"/>
    <w:rsid w:val="00596BAA"/>
    <w:rsid w:val="005B7B4E"/>
    <w:rsid w:val="005C136E"/>
    <w:rsid w:val="005C5B7B"/>
    <w:rsid w:val="005C68B5"/>
    <w:rsid w:val="005C7AD1"/>
    <w:rsid w:val="005E1BE9"/>
    <w:rsid w:val="0060235A"/>
    <w:rsid w:val="0065555D"/>
    <w:rsid w:val="00657995"/>
    <w:rsid w:val="00672917"/>
    <w:rsid w:val="0068015E"/>
    <w:rsid w:val="00680FF7"/>
    <w:rsid w:val="00690C6E"/>
    <w:rsid w:val="006A5F3C"/>
    <w:rsid w:val="006D5355"/>
    <w:rsid w:val="006F0352"/>
    <w:rsid w:val="006F730D"/>
    <w:rsid w:val="00704004"/>
    <w:rsid w:val="007270A0"/>
    <w:rsid w:val="0073679A"/>
    <w:rsid w:val="00745E4D"/>
    <w:rsid w:val="00766D0F"/>
    <w:rsid w:val="0076768F"/>
    <w:rsid w:val="007B1F7A"/>
    <w:rsid w:val="007C3232"/>
    <w:rsid w:val="007C44D3"/>
    <w:rsid w:val="007D1733"/>
    <w:rsid w:val="007D48D4"/>
    <w:rsid w:val="00805F32"/>
    <w:rsid w:val="008139D5"/>
    <w:rsid w:val="0081406C"/>
    <w:rsid w:val="008222C1"/>
    <w:rsid w:val="0082478B"/>
    <w:rsid w:val="00853608"/>
    <w:rsid w:val="0088605B"/>
    <w:rsid w:val="008B7675"/>
    <w:rsid w:val="008B7D23"/>
    <w:rsid w:val="008D2282"/>
    <w:rsid w:val="008E2ED9"/>
    <w:rsid w:val="008F6088"/>
    <w:rsid w:val="008F68B0"/>
    <w:rsid w:val="0091090B"/>
    <w:rsid w:val="00922087"/>
    <w:rsid w:val="00922547"/>
    <w:rsid w:val="00926442"/>
    <w:rsid w:val="00962A22"/>
    <w:rsid w:val="00983A37"/>
    <w:rsid w:val="00985477"/>
    <w:rsid w:val="009A0EBB"/>
    <w:rsid w:val="009A751E"/>
    <w:rsid w:val="009B35A0"/>
    <w:rsid w:val="009D3E65"/>
    <w:rsid w:val="009D622D"/>
    <w:rsid w:val="009D67A5"/>
    <w:rsid w:val="009D7E44"/>
    <w:rsid w:val="00A0368D"/>
    <w:rsid w:val="00A27370"/>
    <w:rsid w:val="00A80AF2"/>
    <w:rsid w:val="00A96F7E"/>
    <w:rsid w:val="00AA1A35"/>
    <w:rsid w:val="00AB6D0E"/>
    <w:rsid w:val="00AC23CF"/>
    <w:rsid w:val="00AC68EE"/>
    <w:rsid w:val="00AC6BFD"/>
    <w:rsid w:val="00AE2E32"/>
    <w:rsid w:val="00AE3353"/>
    <w:rsid w:val="00AF511E"/>
    <w:rsid w:val="00B03FA6"/>
    <w:rsid w:val="00B20C61"/>
    <w:rsid w:val="00B26E3D"/>
    <w:rsid w:val="00B37518"/>
    <w:rsid w:val="00B71B9D"/>
    <w:rsid w:val="00B8589B"/>
    <w:rsid w:val="00BC0572"/>
    <w:rsid w:val="00BC2714"/>
    <w:rsid w:val="00BD77C9"/>
    <w:rsid w:val="00C12A44"/>
    <w:rsid w:val="00C32289"/>
    <w:rsid w:val="00C41611"/>
    <w:rsid w:val="00C46B06"/>
    <w:rsid w:val="00C553DA"/>
    <w:rsid w:val="00C86FA1"/>
    <w:rsid w:val="00CC1499"/>
    <w:rsid w:val="00CC2444"/>
    <w:rsid w:val="00CD615B"/>
    <w:rsid w:val="00CD7121"/>
    <w:rsid w:val="00D04A9E"/>
    <w:rsid w:val="00D05478"/>
    <w:rsid w:val="00D53989"/>
    <w:rsid w:val="00DA7A10"/>
    <w:rsid w:val="00DC46C0"/>
    <w:rsid w:val="00DE6320"/>
    <w:rsid w:val="00DF43F9"/>
    <w:rsid w:val="00E66FE8"/>
    <w:rsid w:val="00E81BAE"/>
    <w:rsid w:val="00E82533"/>
    <w:rsid w:val="00E82BC9"/>
    <w:rsid w:val="00E84728"/>
    <w:rsid w:val="00E96F2D"/>
    <w:rsid w:val="00EB1DFD"/>
    <w:rsid w:val="00EB36F6"/>
    <w:rsid w:val="00EC65D7"/>
    <w:rsid w:val="00ED4255"/>
    <w:rsid w:val="00F3547C"/>
    <w:rsid w:val="00F40491"/>
    <w:rsid w:val="00F4198D"/>
    <w:rsid w:val="00F53B27"/>
    <w:rsid w:val="00F83EC6"/>
    <w:rsid w:val="00F93D27"/>
    <w:rsid w:val="00FA52D1"/>
    <w:rsid w:val="00FC3B00"/>
    <w:rsid w:val="00FD79E1"/>
    <w:rsid w:val="00F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B"/>
    <w:pPr>
      <w:spacing w:after="200" w:line="276" w:lineRule="auto"/>
    </w:pPr>
    <w:rPr>
      <w:sz w:val="22"/>
      <w:szCs w:val="22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C244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6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6ED"/>
  </w:style>
  <w:style w:type="paragraph" w:styleId="Footer">
    <w:name w:val="footer"/>
    <w:basedOn w:val="Normal"/>
    <w:link w:val="FooterChar"/>
    <w:uiPriority w:val="99"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ED"/>
  </w:style>
  <w:style w:type="character" w:styleId="Hyperlink">
    <w:name w:val="Hyperlink"/>
    <w:basedOn w:val="DefaultParagraphFont"/>
    <w:rsid w:val="00C12A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B4E"/>
    <w:rPr>
      <w:b/>
      <w:bCs/>
    </w:rPr>
  </w:style>
  <w:style w:type="character" w:styleId="Emphasis">
    <w:name w:val="Emphasis"/>
    <w:basedOn w:val="DefaultParagraphFont"/>
    <w:uiPriority w:val="20"/>
    <w:qFormat/>
    <w:rsid w:val="00D054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2EB6"/>
    <w:rPr>
      <w:color w:val="800080"/>
      <w:u w:val="single"/>
    </w:rPr>
  </w:style>
  <w:style w:type="character" w:customStyle="1" w:styleId="src">
    <w:name w:val="src"/>
    <w:basedOn w:val="DefaultParagraphFont"/>
    <w:rsid w:val="003E2EB6"/>
  </w:style>
  <w:style w:type="character" w:customStyle="1" w:styleId="jrnl">
    <w:name w:val="jrnl"/>
    <w:basedOn w:val="DefaultParagraphFont"/>
    <w:rsid w:val="003E2EB6"/>
  </w:style>
  <w:style w:type="paragraph" w:customStyle="1" w:styleId="title">
    <w:name w:val="title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prtbody">
    <w:name w:val="rprtbody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x">
    <w:name w:val="aux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prtid">
    <w:name w:val="rprtid"/>
    <w:basedOn w:val="DefaultParagraphFont"/>
    <w:rsid w:val="0068015E"/>
  </w:style>
  <w:style w:type="character" w:customStyle="1" w:styleId="rprtlinks">
    <w:name w:val="rprtlinks"/>
    <w:basedOn w:val="DefaultParagraphFont"/>
    <w:rsid w:val="0068015E"/>
  </w:style>
  <w:style w:type="character" w:customStyle="1" w:styleId="statusicon">
    <w:name w:val="status_icon"/>
    <w:basedOn w:val="DefaultParagraphFont"/>
    <w:rsid w:val="0068015E"/>
  </w:style>
  <w:style w:type="character" w:customStyle="1" w:styleId="Heading2Char">
    <w:name w:val="Heading 2 Char"/>
    <w:basedOn w:val="DefaultParagraphFont"/>
    <w:link w:val="Heading2"/>
    <w:uiPriority w:val="9"/>
    <w:rsid w:val="00CC244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desc">
    <w:name w:val="desc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tails">
    <w:name w:val="detail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nks">
    <w:name w:val="link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127498" TargetMode="External"/><Relationship Id="rId13" Type="http://schemas.openxmlformats.org/officeDocument/2006/relationships/hyperlink" Target="http://www.ncbi.nlm.nih.gov/pubmed/202285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_mekky0000@yahoo.com" TargetMode="External"/><Relationship Id="rId12" Type="http://schemas.openxmlformats.org/officeDocument/2006/relationships/hyperlink" Target="http://www.ncbi.nlm.nih.gov/pubmed/206305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111387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cbi.nlm.nih.gov/pubmed/21836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1894056" TargetMode="External"/><Relationship Id="rId14" Type="http://schemas.openxmlformats.org/officeDocument/2006/relationships/hyperlink" Target="http://www.ncbi.nlm.nih.gov/pubmed/20226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Links>
    <vt:vector size="60" baseType="variant">
      <vt:variant>
        <vt:i4>3342368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http://www.ncbi.nlm.nih.gov/pubmed/20226456</vt:lpwstr>
      </vt:variant>
      <vt:variant>
        <vt:lpwstr/>
      </vt:variant>
      <vt:variant>
        <vt:i4>3211297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http://www.ncbi.nlm.nih.gov/pubmed/20228590</vt:lpwstr>
      </vt:variant>
      <vt:variant>
        <vt:lpwstr/>
      </vt:variant>
      <vt:variant>
        <vt:i4>3473440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http://www.ncbi.nlm.nih.gov/pubmed/20630515</vt:lpwstr>
      </vt:variant>
      <vt:variant>
        <vt:lpwstr/>
      </vt:variant>
      <vt:variant>
        <vt:i4>3604526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http://www.ncbi.nlm.nih.gov/pubmed/21113878</vt:lpwstr>
      </vt:variant>
      <vt:variant>
        <vt:lpwstr/>
      </vt:variant>
      <vt:variant>
        <vt:i4>4063276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http://www.ncbi.nlm.nih.gov/pubmed/21836820</vt:lpwstr>
      </vt:variant>
      <vt:variant>
        <vt:lpwstr/>
      </vt:variant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http://www.ncbi.nlm.nih.gov/pubmed/21894056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http://www.ncbi.nlm.nih.gov/pubmed/22127498</vt:lpwstr>
      </vt:variant>
      <vt:variant>
        <vt:lpwstr/>
      </vt:variant>
      <vt:variant>
        <vt:i4>7274602</vt:i4>
      </vt:variant>
      <vt:variant>
        <vt:i4>6</vt:i4>
      </vt:variant>
      <vt:variant>
        <vt:i4>0</vt:i4>
      </vt:variant>
      <vt:variant>
        <vt:i4>5</vt:i4>
      </vt:variant>
      <vt:variant>
        <vt:lpwstr>http://www.pref.aichi.jp/cancer-center/400/410/411/411-01.html</vt:lpwstr>
      </vt:variant>
      <vt:variant>
        <vt:lpwstr/>
      </vt:variant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http://www.pref.aichi.jp/cancer-center/english/index.html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mailto:doc_mekky0000@yahoo.com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Badry</dc:creator>
  <cp:lastModifiedBy>trainee3</cp:lastModifiedBy>
  <cp:revision>4</cp:revision>
  <cp:lastPrinted>2012-09-16T09:14:00Z</cp:lastPrinted>
  <dcterms:created xsi:type="dcterms:W3CDTF">2015-06-14T09:18:00Z</dcterms:created>
  <dcterms:modified xsi:type="dcterms:W3CDTF">2015-06-14T09:28:00Z</dcterms:modified>
</cp:coreProperties>
</file>